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616913" w:rsidRPr="0061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616913" w:rsidRPr="00616913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36"/>
                    <w:gridCol w:w="14"/>
                  </w:tblGrid>
                  <w:tr w:rsidR="00616913" w:rsidRPr="0061691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spacing w:line="375" w:lineRule="atLeast"/>
                          <w:jc w:val="left"/>
                          <w:rPr>
                            <w:rFonts w:ascii="򢬢dotum" w:eastAsia="굴림" w:hAnsi="򢬢dotum" w:cs="굴림" w:hint="eastAsia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</w:pP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승속을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아울러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함께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부른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 xml:space="preserve"> ‘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법음의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하모니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000000"/>
                            <w:spacing w:val="-24"/>
                            <w:kern w:val="0"/>
                            <w:sz w:val="27"/>
                            <w:szCs w:val="27"/>
                          </w:rPr>
                          <w:t>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616913" w:rsidRPr="00616913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16913" w:rsidRPr="00616913" w:rsidRDefault="00616913" w:rsidP="00616913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򢬢dotum" w:eastAsia="굴림" w:hAnsi="򢬢dotum" w:cs="굴림" w:hint="eastAsia"/>
                                  <w:color w:val="55555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righ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6913" w:rsidRPr="0061691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616913" w:rsidRPr="0061691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3F3828" w:rsidP="00616913">
                        <w:pPr>
                          <w:widowControl/>
                          <w:wordWrap/>
                          <w:autoSpaceDE/>
                          <w:autoSpaceDN/>
                          <w:spacing w:line="375" w:lineRule="atLeast"/>
                          <w:jc w:val="left"/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현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대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불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교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음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악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가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야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운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두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번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째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음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반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출</w:t>
                        </w:r>
                        <w:r>
                          <w:rPr>
                            <w:rFonts w:ascii="򢬢dotum" w:eastAsia="굴림" w:hAnsi="򢬢dotum" w:cs="굴림" w:hint="eastAsia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  <w:r w:rsidR="00616913" w:rsidRPr="00616913">
                          <w:rPr>
                            <w:rFonts w:ascii="򢬢dotum" w:eastAsia="굴림" w:hAnsi="򢬢dotum" w:cs="굴림"/>
                            <w:color w:val="666666"/>
                            <w:spacing w:val="-24"/>
                            <w:kern w:val="0"/>
                            <w:sz w:val="21"/>
                            <w:szCs w:val="21"/>
                          </w:rPr>
                          <w:t>시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򢬢dotum" w:eastAsia="굴림" w:hAnsi="򢬢dotum" w:cs="굴림" w:hint="eastAsi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18"/>
                <w:szCs w:val="18"/>
              </w:rPr>
            </w:pPr>
          </w:p>
        </w:tc>
      </w:tr>
      <w:tr w:rsidR="00616913" w:rsidRPr="00616913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2"/>
                <w:szCs w:val="18"/>
              </w:rPr>
            </w:pPr>
          </w:p>
        </w:tc>
      </w:tr>
      <w:tr w:rsidR="00616913" w:rsidRPr="00616913">
        <w:trPr>
          <w:tblCellSpacing w:w="0" w:type="dxa"/>
          <w:jc w:val="center"/>
        </w:trPr>
        <w:tc>
          <w:tcPr>
            <w:tcW w:w="0" w:type="auto"/>
            <w:tcMar>
              <w:top w:w="13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87"/>
              <w:gridCol w:w="4963"/>
            </w:tblGrid>
            <w:tr w:rsidR="00616913" w:rsidRPr="0061691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򢬢dotum" w:eastAsia="굴림" w:hAnsi="򢬢dotum" w:cs="굴림" w:hint="eastAsia"/>
                      <w:color w:val="868686"/>
                      <w:kern w:val="0"/>
                      <w:sz w:val="18"/>
                      <w:szCs w:val="18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68686"/>
                      <w:kern w:val="0"/>
                      <w:sz w:val="18"/>
                      <w:szCs w:val="18"/>
                    </w:rPr>
                    <w:t>데스크승인</w:t>
                  </w:r>
                  <w:r w:rsidRPr="00616913">
                    <w:rPr>
                      <w:rFonts w:ascii="򢬢dotum" w:eastAsia="굴림" w:hAnsi="򢬢dotum" w:cs="굴림"/>
                      <w:color w:val="868686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16913">
                    <w:rPr>
                      <w:rFonts w:ascii="򢬢dotum" w:eastAsia="굴림" w:hAnsi="򢬢dotum" w:cs="굴림"/>
                      <w:color w:val="868686"/>
                      <w:kern w:val="0"/>
                      <w:sz w:val="18"/>
                    </w:rPr>
                    <w:t>2013.07.19  15:08:41</w:t>
                  </w:r>
                  <w:proofErr w:type="gramEnd"/>
                  <w:r w:rsidRPr="00616913">
                    <w:rPr>
                      <w:rFonts w:ascii="򢬢dotum" w:eastAsia="굴림" w:hAnsi="򢬢dotum" w:cs="굴림"/>
                      <w:color w:val="868686"/>
                      <w:kern w:val="0"/>
                      <w:sz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򢬢dotum" w:eastAsia="굴림" w:hAnsi="򢬢dotum" w:cs="굴림" w:hint="eastAsia"/>
                      <w:color w:val="555555"/>
                      <w:kern w:val="0"/>
                      <w:sz w:val="18"/>
                      <w:szCs w:val="18"/>
                    </w:rPr>
                  </w:pPr>
                  <w:r w:rsidRPr="00616913">
                    <w:rPr>
                      <w:rFonts w:ascii="򢬢dotum" w:eastAsia="굴림" w:hAnsi="򢬢dotum" w:cs="굴림"/>
                      <w:color w:val="555555"/>
                      <w:kern w:val="0"/>
                      <w:sz w:val="18"/>
                      <w:szCs w:val="18"/>
                    </w:rPr>
                    <w:t>허정철</w:t>
                  </w:r>
                  <w:r w:rsidRPr="00616913">
                    <w:rPr>
                      <w:rFonts w:ascii="򢬢dotum" w:eastAsia="굴림" w:hAnsi="򢬢dotum" w:cs="굴림"/>
                      <w:color w:val="555555"/>
                      <w:kern w:val="0"/>
                      <w:sz w:val="18"/>
                      <w:szCs w:val="18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555555"/>
                      <w:kern w:val="0"/>
                      <w:sz w:val="18"/>
                      <w:szCs w:val="18"/>
                    </w:rPr>
                    <w:t>기자</w:t>
                  </w:r>
                  <w:r w:rsidRPr="00616913">
                    <w:rPr>
                      <w:rFonts w:ascii="򢬢dotum" w:eastAsia="굴림" w:hAnsi="򢬢dotum" w:cs="굴림"/>
                      <w:color w:val="555555"/>
                      <w:kern w:val="0"/>
                      <w:sz w:val="18"/>
                      <w:szCs w:val="18"/>
                    </w:rPr>
                    <w:t xml:space="preserve"> | </w:t>
                  </w:r>
                  <w:hyperlink r:id="rId4" w:history="1">
                    <w:r w:rsidRPr="00616913">
                      <w:rPr>
                        <w:rFonts w:ascii="򢬢dotum" w:eastAsia="굴림" w:hAnsi="򢬢dotum" w:cs="굴림"/>
                        <w:color w:val="4D4D4D"/>
                        <w:kern w:val="0"/>
                        <w:sz w:val="18"/>
                      </w:rPr>
                      <w:t>hjc@ibulgyo.com</w:t>
                    </w:r>
                  </w:hyperlink>
                  <w:proofErr w:type="gramStart"/>
                  <w:r w:rsidRPr="00616913">
                    <w:rPr>
                      <w:rFonts w:ascii="򢬢dotum" w:eastAsia="굴림" w:hAnsi="򢬢dotum" w:cs="굴림"/>
                      <w:color w:val="555555"/>
                      <w:kern w:val="0"/>
                      <w:sz w:val="18"/>
                      <w:szCs w:val="18"/>
                    </w:rPr>
                    <w:t xml:space="preserve">   </w:t>
                  </w:r>
                  <w:proofErr w:type="gramEnd"/>
                </w:p>
              </w:tc>
            </w:tr>
          </w:tbl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18"/>
                <w:szCs w:val="18"/>
              </w:rPr>
            </w:pPr>
          </w:p>
        </w:tc>
      </w:tr>
      <w:tr w:rsidR="00616913" w:rsidRPr="00616913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2"/>
                <w:szCs w:val="18"/>
              </w:rPr>
            </w:pPr>
          </w:p>
        </w:tc>
      </w:tr>
      <w:tr w:rsidR="00616913" w:rsidRPr="00616913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16"/>
                <w:szCs w:val="18"/>
              </w:rPr>
            </w:pPr>
          </w:p>
        </w:tc>
      </w:tr>
      <w:tr w:rsidR="00616913" w:rsidRPr="0061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6913" w:rsidRPr="00616913" w:rsidRDefault="00616913" w:rsidP="00616913">
            <w:pPr>
              <w:widowControl/>
              <w:wordWrap/>
              <w:autoSpaceDE/>
              <w:autoSpaceDN/>
              <w:jc w:val="center"/>
              <w:rPr>
                <w:rFonts w:ascii="򢬢dotum" w:eastAsia="굴림" w:hAnsi="򢬢dotum" w:cs="굴림" w:hint="eastAsia"/>
                <w:color w:val="555555"/>
                <w:kern w:val="0"/>
                <w:sz w:val="18"/>
                <w:szCs w:val="18"/>
              </w:rPr>
            </w:pPr>
          </w:p>
        </w:tc>
      </w:tr>
      <w:tr w:rsidR="00616913" w:rsidRPr="0061691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6913" w:rsidRPr="00616913" w:rsidRDefault="00616913" w:rsidP="00616913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555555"/>
                <w:kern w:val="0"/>
                <w:sz w:val="18"/>
                <w:szCs w:val="18"/>
              </w:rPr>
            </w:pPr>
          </w:p>
        </w:tc>
      </w:tr>
      <w:tr w:rsidR="00616913" w:rsidRPr="0061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616913" w:rsidRPr="006169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  <w:szCs w:val="21"/>
                    </w:rPr>
                    <w:br/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원경스님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,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노래와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작곡으로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음반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작업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참여해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의미깊어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다양한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장르에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대중성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가미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불교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대중화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이끌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활동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b/>
                      <w:bCs/>
                      <w:color w:val="800000"/>
                      <w:kern w:val="0"/>
                      <w:sz w:val="21"/>
                    </w:rPr>
                    <w:t>기대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2"/>
                    <w:gridCol w:w="9196"/>
                    <w:gridCol w:w="202"/>
                  </w:tblGrid>
                  <w:tr w:rsidR="00616913" w:rsidRPr="00616913" w:rsidTr="00616913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򢬢dotum" w:eastAsia="굴림" w:hAnsi="򢬢dotum" w:cs="굴림" w:hint="eastAsia"/>
                            <w:noProof/>
                            <w:color w:val="555555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715000" cy="3810000"/>
                              <wp:effectExtent l="19050" t="0" r="0" b="0"/>
                              <wp:docPr id="1" name="그림 1" descr="http://www.ibulgyo.com/news/photo/201307/127378_67716_52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ibulgyo.com/news/photo/201307/127378_67716_52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616913" w:rsidRPr="00616913" w:rsidTr="0061691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최근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새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음반을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출시한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불자가수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야운이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지난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11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일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함께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음반작업을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진행한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서울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심곡암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주지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원경스님이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주석하는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심곡암을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찾아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환담을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나눴다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문화포교에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앞장서고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스님과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가수가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모아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대중화를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위한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제작해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관심을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모으고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lastRenderedPageBreak/>
                    <w:t>최근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="00227E54"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  <w:t>현대불교음악가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(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野雲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,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본명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전승은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)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조계종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사회복지재단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상임이사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(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서울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심곡암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주지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)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함께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작업한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번째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정규음반인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현대불교음악집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산솔바람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출시했다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특히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산사음악회를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통해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대중에게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불교문화의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우수성을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전해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온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작곡은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물론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직접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노래를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눈길을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음반에는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부처님의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탄생을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축하하며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작곡한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룸비니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동산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비롯해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스님의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염불소리와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사계의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자연소리를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담은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옴마니반메훔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〈법화경〉의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생명존엄에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이야기를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노래한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가운데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꽃들이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만발한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이곳에를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줄인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꽃</w:t>
                  </w:r>
                  <w:proofErr w:type="gram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proofErr w:type="gram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부처님의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온화함과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자비로운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성품을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닮고자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부처님이여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오대산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적멸보궁에서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21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동안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기도하며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느낀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감정을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곡으로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표현한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산사에서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〈화엄경〉의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나비효과를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생각하며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나비꿈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새가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구슬프게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우는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모습을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바라보다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산새처럼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날고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싶다는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심경을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담은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산새우는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소리에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공에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이야기를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담은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이뭣고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Cambria Math" w:eastAsia="굴림" w:hAnsi="Cambria Math" w:cs="Cambria Math"/>
                      <w:color w:val="838383"/>
                      <w:kern w:val="0"/>
                      <w:sz w:val="21"/>
                      <w:szCs w:val="21"/>
                    </w:rPr>
                    <w:t>△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호국불교와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팔도강산의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아리랑을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표현한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경쾌한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리듬의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청산에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살어리랏다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’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등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소재로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창작곡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9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곡이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수록돼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불교적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색채를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연하게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띠며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누구나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따라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쉬운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멜로디와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가사로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대중성을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높인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것이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특징이다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동요느낌은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물론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락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,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발라드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, </w:t>
                  </w:r>
                  <w:proofErr w:type="spellStart"/>
                  <w:proofErr w:type="gram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세미트로트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까지</w:t>
                  </w:r>
                  <w:proofErr w:type="gram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장르도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다양하다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야운은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꽃들이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만발한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이곳에의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준말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꽃</w:t>
                  </w:r>
                  <w:proofErr w:type="gram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에서도</w:t>
                  </w:r>
                  <w:proofErr w:type="gram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있듯이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자연을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주제로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부처님의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성품을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닮고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싶은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이야기를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담고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면서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감성적인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목소리가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일품인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원경스님과의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통해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30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대에서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70~80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어르신에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이르기까지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많은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분들이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친숙하게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들을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현대불교음악을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만들고자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밝혔다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평소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산사음악회는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물론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시집을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출간하는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문화포교에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남다른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노력을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기울였던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불자가수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야운과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음반작업을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통해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인연을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맺었다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동안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틈틈이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시간을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작곡한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곡만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20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곡에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이른다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올해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하반기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스님이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출간한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시집에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수록된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오실이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가실이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불교음악가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박범훈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중앙대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총장이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곡을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붙인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등을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수록한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첫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번째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솔로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출시할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예정이다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원경스님은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국악을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공부한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경험을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살려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대중에게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회향하는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열린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마음으로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작곡활동을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해왔다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면서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신심은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물론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실력도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갖춘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불자가수인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야운과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작업을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통해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문화포교의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새로운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서막을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알렸고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앞으로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무대에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함께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서며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대중화에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나설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것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이라고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말했다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 </w:t>
                  </w:r>
                </w:p>
                <w:tbl>
                  <w:tblPr>
                    <w:tblW w:w="273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"/>
                    <w:gridCol w:w="2160"/>
                    <w:gridCol w:w="285"/>
                  </w:tblGrid>
                  <w:tr w:rsidR="00616913" w:rsidRPr="00616913" w:rsidTr="00616913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555555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򢬢dotum" w:eastAsia="굴림" w:hAnsi="򢬢dotum" w:cs="굴림" w:hint="eastAsia"/>
                            <w:noProof/>
                            <w:color w:val="555555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352550" cy="1905000"/>
                              <wp:effectExtent l="19050" t="0" r="0" b="0"/>
                              <wp:docPr id="2" name="그림 2" descr="http://www.ibulgyo.com/news/photo/201307/127378_67715_52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ibulgyo.com/news/photo/201307/127378_67715_52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55555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616913" w:rsidRPr="00616913" w:rsidTr="0061691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16913" w:rsidRPr="00616913" w:rsidRDefault="00616913" w:rsidP="0061691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򢬢dotum" w:eastAsia="굴림" w:hAnsi="򢬢dotum" w:cs="굴림" w:hint="eastAsia"/>
                            <w:color w:val="555555"/>
                            <w:kern w:val="0"/>
                            <w:sz w:val="18"/>
                            <w:szCs w:val="18"/>
                          </w:rPr>
                        </w:pP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불자가수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야운의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두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번째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음반</w:t>
                        </w:r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현대불교음악집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 xml:space="preserve"> ‘</w:t>
                        </w:r>
                        <w:proofErr w:type="spellStart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산솔바람</w:t>
                        </w:r>
                        <w:proofErr w:type="spellEnd"/>
                        <w:r w:rsidRPr="00616913">
                          <w:rPr>
                            <w:rFonts w:ascii="򢬢dotum" w:eastAsia="굴림" w:hAnsi="򢬢dotum" w:cs="굴림"/>
                            <w:color w:val="306F7F"/>
                            <w:kern w:val="0"/>
                            <w:sz w:val="18"/>
                            <w:szCs w:val="18"/>
                          </w:rPr>
                          <w:t>’.</w:t>
                        </w:r>
                      </w:p>
                    </w:tc>
                  </w:tr>
                </w:tbl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지난해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5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1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집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흑백낙서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1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만에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발표한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야운은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대중음악보다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현대불교음악가로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기억되고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싶다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당찬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포부를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밝힌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신세대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불자가수다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 17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살에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시작한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그는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지난해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첫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발표하고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조계사에서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콘서트를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열어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호응을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얻었다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 17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동안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노인복지관에서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음성공양으로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봉사활동을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펼치는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등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자비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나눔에도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앞장서고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있으며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전국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사찰에서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정기적으로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3000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배를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올리는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독실한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불자다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새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음반출시와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함께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이달부터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불교방송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IPTV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프로그램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마음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,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인생을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바꾸다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에서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선업스님과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공동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진행을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맡으며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활발한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활동을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예고하고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야운은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여여하게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하늘을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떠다니며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더운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사람에게는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해를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가리고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땅을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적시듯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부처님의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가르침을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노래하는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들구름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같은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가수가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되고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싶다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proofErr w:type="spellStart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면서</w:t>
                  </w:r>
                  <w:proofErr w:type="spellEnd"/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앞으로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산사음악회를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비롯한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다양한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무대에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올라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사부대중의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삶을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더욱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아름답게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수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있도록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노력하겠다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”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고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포부를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 xml:space="preserve"> 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밝혔다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.</w:t>
                  </w:r>
                </w:p>
                <w:p w:rsidR="00616913" w:rsidRPr="00616913" w:rsidRDefault="00616913" w:rsidP="00616913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84" w:lineRule="auto"/>
                    <w:rPr>
                      <w:rFonts w:ascii="򢬢dotum" w:eastAsia="굴림" w:hAnsi="򢬢dotum" w:cs="굴림" w:hint="eastAsia"/>
                      <w:color w:val="838383"/>
                      <w:kern w:val="0"/>
                      <w:sz w:val="21"/>
                      <w:szCs w:val="21"/>
                    </w:rPr>
                  </w:pP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br/>
                    <w:t>[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불교신문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2930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호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/2013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년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7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월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20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일자</w:t>
                  </w:r>
                  <w:r w:rsidRPr="00616913">
                    <w:rPr>
                      <w:rFonts w:ascii="򢬢dotum" w:eastAsia="굴림" w:hAnsi="򢬢dotum" w:cs="굴림"/>
                      <w:color w:val="838383"/>
                      <w:kern w:val="0"/>
                      <w:sz w:val="21"/>
                      <w:szCs w:val="21"/>
                    </w:rPr>
                    <w:t>]</w:t>
                  </w:r>
                </w:p>
              </w:tc>
            </w:tr>
          </w:tbl>
          <w:p w:rsidR="00616913" w:rsidRPr="00616913" w:rsidRDefault="00616913" w:rsidP="00616913">
            <w:pPr>
              <w:widowControl/>
              <w:wordWrap/>
              <w:autoSpaceDE/>
              <w:autoSpaceDN/>
              <w:jc w:val="center"/>
              <w:rPr>
                <w:rFonts w:ascii="򢬢dotum" w:eastAsia="굴림" w:hAnsi="򢬢dotum" w:cs="굴림" w:hint="eastAsia"/>
                <w:color w:val="555555"/>
                <w:kern w:val="0"/>
                <w:sz w:val="18"/>
                <w:szCs w:val="18"/>
              </w:rPr>
            </w:pPr>
          </w:p>
        </w:tc>
      </w:tr>
    </w:tbl>
    <w:p w:rsidR="00616913" w:rsidRDefault="00616913"/>
    <w:sectPr w:rsidR="00616913" w:rsidSect="00F043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򢬢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16913"/>
    <w:rsid w:val="00227E54"/>
    <w:rsid w:val="003F3828"/>
    <w:rsid w:val="00616913"/>
    <w:rsid w:val="00F0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7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913"/>
    <w:rPr>
      <w:strike w:val="0"/>
      <w:dstrike w:val="0"/>
      <w:color w:val="4D4D4D"/>
      <w:u w:val="none"/>
      <w:effect w:val="none"/>
    </w:rPr>
  </w:style>
  <w:style w:type="paragraph" w:styleId="a4">
    <w:name w:val="Normal (Web)"/>
    <w:basedOn w:val="a"/>
    <w:uiPriority w:val="99"/>
    <w:unhideWhenUsed/>
    <w:rsid w:val="0061691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mn3">
    <w:name w:val="smn3"/>
    <w:basedOn w:val="a0"/>
    <w:rsid w:val="00616913"/>
  </w:style>
  <w:style w:type="character" w:styleId="a5">
    <w:name w:val="Strong"/>
    <w:basedOn w:val="a0"/>
    <w:uiPriority w:val="22"/>
    <w:qFormat/>
    <w:rsid w:val="0061691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1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16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ibulgyo.com/news/mailto.html?mail=hjc@ibulgy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319</Words>
  <Characters>1824</Characters>
  <Application>Microsoft Office Word</Application>
  <DocSecurity>0</DocSecurity>
  <Lines>15</Lines>
  <Paragraphs>4</Paragraphs>
  <ScaleCrop>false</ScaleCrop>
  <Company>SK C&amp;C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2013-09-18T05:24:00Z</dcterms:created>
  <dcterms:modified xsi:type="dcterms:W3CDTF">2013-09-23T16:28:00Z</dcterms:modified>
</cp:coreProperties>
</file>